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AE" w:rsidRDefault="000A65AE" w:rsidP="000A65A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0A65AE" w:rsidRPr="001712EF" w:rsidRDefault="000A65AE" w:rsidP="000A65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1712EF">
        <w:rPr>
          <w:rFonts w:eastAsia="Times New Roman" w:cs="Times New Roman"/>
          <w:b/>
          <w:bCs/>
          <w:sz w:val="24"/>
          <w:szCs w:val="24"/>
        </w:rPr>
        <w:t>Civil Leg</w:t>
      </w:r>
      <w:bookmarkStart w:id="0" w:name="_GoBack"/>
      <w:bookmarkEnd w:id="0"/>
      <w:r w:rsidRPr="001712EF">
        <w:rPr>
          <w:rFonts w:eastAsia="Times New Roman" w:cs="Times New Roman"/>
          <w:b/>
          <w:bCs/>
          <w:sz w:val="24"/>
          <w:szCs w:val="24"/>
        </w:rPr>
        <w:t>al Aid Workshops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ABA Free Legal Answers: How to Integrate It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The ABA Standards for the Provision of Civil Legal Aid: Are Substantial Revisions Needed?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Addressing the Legal Needs of Homeless Youth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Advanced Lessons in Evidence-Based Legal Practice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Advocacy Through a Regional Medical Legal Partnership Collaborative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All Aboard with Online Forms: Promoting Legal Aid Staff Use of Document Assembly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All Hands on Deck: Taking a Multi-Disciplinary Approach to the Complex Legal Problems of Housing Insecurity and Displacement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Alternative Schools: A Needed Hand Up, or Second Class Education for Students of Color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Being an Advocate: Community Organizing and Community Lawyering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The Benefits of Rural Legal Aid and What Big Cities Can Learn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917A05">
        <w:rPr>
          <w:rFonts w:ascii="Calibri" w:eastAsia="Times New Roman" w:hAnsi="Calibri" w:cs="Times New Roman"/>
          <w:color w:val="000000"/>
          <w:sz w:val="24"/>
          <w:szCs w:val="24"/>
        </w:rPr>
        <w:t>Big Ideas: The Future of Pro Bono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Building a Successful Partnership Between the Board of Directors and Executive Director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Building Relationships with Reporters and Lawmakers to Bolster Local Press Coverage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Building the Tools for Self-Represented Litigants: Law Help Interactive and A2J Author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Clearing Criminal Records: Clinics, Community Partnerships, and Using Data to Inform Need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Delivering Innovative and Inclusive Legal Services for Transgender Clients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Delivering Trauma-Informed Civil Legal Services to Clients with Mental Illness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917A05">
        <w:rPr>
          <w:rFonts w:ascii="Calibri" w:eastAsia="Times New Roman" w:hAnsi="Calibri" w:cs="Times New Roman"/>
          <w:color w:val="000000"/>
          <w:sz w:val="24"/>
          <w:szCs w:val="24"/>
        </w:rPr>
        <w:t>Educating Legislators About Legal Aid 2.0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Empowering Immigrant Clients to Protect Themselves, Their Families, and Our Communities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Essential Staff May Soon Retire: What Do We Do to Preserve Their Knowledge?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Evolving Issues in Economic Justice and Consumer Protection: CFPB Developments and Resources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A Fresh Approach to Community Lawyering: Lessons Learned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GIS for Justice: Using a Tool from Outside the Lawyer's Toolbox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How to Set Up and Run a School-Based Legal Aid Clinic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Implicit Bias in the Workplace: Managing Skepticism, Belief, and Micro-Aggressions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In It to Win It: Florida's Statewide Medical-Legal Partnership Initiative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Innovations in title clearing projects that help Homeowners and Native American Tribes before disaster strikes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Innovative Language Access Policies and Practices at the Local Government Level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Language Access for LEP Immigrants</w:t>
      </w:r>
    </w:p>
    <w:p w:rsidR="000A65AE" w:rsidRPr="000A65AE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917A05">
        <w:rPr>
          <w:rFonts w:ascii="Calibri" w:eastAsia="Times New Roman" w:hAnsi="Calibri" w:cs="Times New Roman"/>
          <w:color w:val="000000"/>
          <w:sz w:val="24"/>
          <w:szCs w:val="24"/>
        </w:rPr>
        <w:t>Lawyers and Public Libraries: A Story Worth Reading</w:t>
      </w:r>
    </w:p>
    <w:p w:rsidR="000A65AE" w:rsidRDefault="000A65AE" w:rsidP="000A65A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0A65AE" w:rsidRPr="001712EF" w:rsidRDefault="000A65AE" w:rsidP="000A65AE">
      <w:pPr>
        <w:spacing w:after="0" w:line="240" w:lineRule="auto"/>
        <w:ind w:left="720"/>
        <w:rPr>
          <w:rFonts w:eastAsia="Times New Roman"/>
          <w:sz w:val="24"/>
          <w:szCs w:val="24"/>
        </w:rPr>
      </w:pP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Less Than Honorable: The Legal Aid Response to the Military Discharge Crisis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Look Before Your Leap: Machine Translation and Legal Services Providers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Maximizing Legal Assistance for Older Adults: the National Center on Law and Elder Rights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Medical-Legal Partnership Fundamentals: Benefits of Integrated Care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MIE Roundtable for Legal Services Executive Directors and Managers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 xml:space="preserve">The New </w:t>
      </w:r>
      <w:proofErr w:type="spellStart"/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New</w:t>
      </w:r>
      <w:proofErr w:type="spellEnd"/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 xml:space="preserve"> Thing: Strengthening Communications Capacity for Civil Legal Aid in Your State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A New Route to Access to Justice: Appointment of Counsel Under the Americans with Disabilities Act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Pro Bono Innovation Fund: Pro Bono That Works For Clients and Communities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Recent Developments in Immigration Law, Policy, and Enforcement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The Role of Diverse Language Access Advisory Committees in Ensuring Equal Access to State Courts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Sexual Harassment in Housing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917A05">
        <w:rPr>
          <w:rFonts w:ascii="Calibri" w:eastAsia="Times New Roman" w:hAnsi="Calibri" w:cs="Times New Roman"/>
          <w:color w:val="000000"/>
          <w:sz w:val="24"/>
          <w:szCs w:val="24"/>
        </w:rPr>
        <w:t>Stronger on the Other Side: Surviving and Thriving during Lean Times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Urban Pro Bono Meets Rural Clients: Remote Services Delivery Models in Action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Using Data and Technology to Protect Low Income Populations from Consumer Fraud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The Value of Administrative Advocacy in Improving Public Benefits</w:t>
      </w:r>
    </w:p>
    <w:p w:rsidR="000A65AE" w:rsidRPr="001712EF" w:rsidRDefault="000A65AE" w:rsidP="000A65AE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036A20">
        <w:rPr>
          <w:rFonts w:ascii="Calibri" w:eastAsia="Times New Roman" w:hAnsi="Calibri" w:cs="Times New Roman"/>
          <w:color w:val="000000"/>
          <w:sz w:val="24"/>
          <w:szCs w:val="24"/>
        </w:rPr>
        <w:t>A Year in the Life of a Victim: A Case Study in Providing Holistic Legal Services</w:t>
      </w:r>
    </w:p>
    <w:p w:rsidR="0052486B" w:rsidRDefault="0052486B"/>
    <w:sectPr w:rsidR="0052486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9E0" w:rsidRDefault="003F09E0" w:rsidP="000A65AE">
      <w:pPr>
        <w:spacing w:after="0" w:line="240" w:lineRule="auto"/>
      </w:pPr>
      <w:r>
        <w:separator/>
      </w:r>
    </w:p>
  </w:endnote>
  <w:endnote w:type="continuationSeparator" w:id="0">
    <w:p w:rsidR="003F09E0" w:rsidRDefault="003F09E0" w:rsidP="000A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9E0" w:rsidRDefault="003F09E0" w:rsidP="000A65AE">
      <w:pPr>
        <w:spacing w:after="0" w:line="240" w:lineRule="auto"/>
      </w:pPr>
      <w:r>
        <w:separator/>
      </w:r>
    </w:p>
  </w:footnote>
  <w:footnote w:type="continuationSeparator" w:id="0">
    <w:p w:rsidR="003F09E0" w:rsidRDefault="003F09E0" w:rsidP="000A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5AE" w:rsidRDefault="000A65AE">
    <w:pPr>
      <w:pStyle w:val="Header"/>
    </w:pPr>
    <w:r>
      <w:rPr>
        <w:noProof/>
      </w:rPr>
      <w:drawing>
        <wp:inline distT="0" distB="0" distL="0" distR="0">
          <wp:extent cx="5724525" cy="11715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-1170-AC2017-worksh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C4280"/>
    <w:multiLevelType w:val="multilevel"/>
    <w:tmpl w:val="D8A0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AE"/>
    <w:rsid w:val="000A65AE"/>
    <w:rsid w:val="003F09E0"/>
    <w:rsid w:val="0052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8B1401-2882-4972-AF45-11F1F4F1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5AE"/>
  </w:style>
  <w:style w:type="paragraph" w:styleId="Footer">
    <w:name w:val="footer"/>
    <w:basedOn w:val="Normal"/>
    <w:link w:val="FooterChar"/>
    <w:uiPriority w:val="99"/>
    <w:unhideWhenUsed/>
    <w:rsid w:val="000A6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Ponce</dc:creator>
  <cp:keywords/>
  <dc:description/>
  <cp:lastModifiedBy>Carol Ponce</cp:lastModifiedBy>
  <cp:revision>1</cp:revision>
  <dcterms:created xsi:type="dcterms:W3CDTF">2017-08-02T18:36:00Z</dcterms:created>
  <dcterms:modified xsi:type="dcterms:W3CDTF">2017-08-02T18:38:00Z</dcterms:modified>
</cp:coreProperties>
</file>